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C0" w:rsidRDefault="00235891">
      <w:pPr>
        <w:spacing w:after="88" w:line="259" w:lineRule="auto"/>
        <w:ind w:left="74" w:right="0" w:firstLine="0"/>
        <w:jc w:val="center"/>
      </w:pPr>
      <w:r>
        <w:rPr>
          <w:noProof/>
          <w:sz w:val="20"/>
        </w:rPr>
        <w:drawing>
          <wp:inline distT="0" distB="0" distL="0" distR="0">
            <wp:extent cx="2795016" cy="15575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iles studi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5016" cy="1557528"/>
                    </a:xfrm>
                    <a:prstGeom prst="rect">
                      <a:avLst/>
                    </a:prstGeom>
                  </pic:spPr>
                </pic:pic>
              </a:graphicData>
            </a:graphic>
          </wp:inline>
        </w:drawing>
      </w:r>
      <w:r>
        <w:rPr>
          <w:sz w:val="20"/>
        </w:rPr>
        <w:t xml:space="preserve"> </w:t>
      </w:r>
      <w:bookmarkStart w:id="0" w:name="_GoBack"/>
      <w:bookmarkEnd w:id="0"/>
    </w:p>
    <w:p w:rsidR="00D323C0" w:rsidRDefault="00235891">
      <w:pPr>
        <w:spacing w:after="0" w:line="259" w:lineRule="auto"/>
        <w:ind w:left="23" w:right="0" w:firstLine="0"/>
        <w:jc w:val="center"/>
      </w:pPr>
      <w:r>
        <w:rPr>
          <w:rFonts w:ascii="Trebuchet MS" w:eastAsia="Trebuchet MS" w:hAnsi="Trebuchet MS" w:cs="Trebuchet MS"/>
          <w:b/>
          <w:sz w:val="36"/>
        </w:rPr>
        <w:t xml:space="preserve">Consent policy </w:t>
      </w:r>
    </w:p>
    <w:p w:rsidR="00D323C0" w:rsidRDefault="00235891">
      <w:pPr>
        <w:spacing w:after="0" w:line="259" w:lineRule="auto"/>
        <w:ind w:left="0" w:right="0" w:firstLine="0"/>
        <w:jc w:val="left"/>
      </w:pPr>
      <w:r>
        <w:t xml:space="preserve"> </w:t>
      </w:r>
    </w:p>
    <w:p w:rsidR="00D323C0" w:rsidRDefault="00235891">
      <w:pPr>
        <w:ind w:left="-5" w:right="14"/>
      </w:pPr>
      <w:r>
        <w:t>In our practice, we treat patients politely and with respect, recognising their dignity and rights as individuals. We also encourage patients to be involved in decisions about their care and, before embarking on any aspect of patient care, we seek their co</w:t>
      </w:r>
      <w:r>
        <w:t xml:space="preserve">nsent to do so – recognising the rights of patients to decide what happens to their bodies. We recognise that patients have the right to refuse advice or treatment.  </w:t>
      </w:r>
    </w:p>
    <w:p w:rsidR="00D323C0" w:rsidRDefault="00235891">
      <w:pPr>
        <w:spacing w:after="6" w:line="259" w:lineRule="auto"/>
        <w:ind w:left="0" w:right="0" w:firstLine="0"/>
        <w:jc w:val="left"/>
      </w:pPr>
      <w:r>
        <w:t xml:space="preserve"> </w:t>
      </w:r>
    </w:p>
    <w:p w:rsidR="00D323C0" w:rsidRDefault="00235891">
      <w:pPr>
        <w:pStyle w:val="Heading1"/>
        <w:ind w:left="-5"/>
      </w:pPr>
      <w:r>
        <w:t xml:space="preserve">Informed consent </w:t>
      </w:r>
    </w:p>
    <w:p w:rsidR="00D323C0" w:rsidRDefault="00235891">
      <w:pPr>
        <w:spacing w:after="0" w:line="259" w:lineRule="auto"/>
        <w:ind w:left="0" w:right="0" w:firstLine="0"/>
        <w:jc w:val="left"/>
      </w:pPr>
      <w:r>
        <w:t xml:space="preserve"> </w:t>
      </w:r>
    </w:p>
    <w:p w:rsidR="00D323C0" w:rsidRDefault="00235891">
      <w:pPr>
        <w:ind w:left="-5" w:right="80"/>
      </w:pPr>
      <w:r>
        <w:t>We aim to provide each patient with sufficient information in a way</w:t>
      </w:r>
      <w:r>
        <w:t xml:space="preserve"> that they can understand to allow them to make a decision about their care. We will use various communication tools to ensure that the patient understands what is being suggested.  </w:t>
      </w:r>
    </w:p>
    <w:p w:rsidR="00D323C0" w:rsidRDefault="00235891">
      <w:pPr>
        <w:spacing w:after="0" w:line="259" w:lineRule="auto"/>
        <w:ind w:left="0" w:right="0" w:firstLine="0"/>
        <w:jc w:val="left"/>
      </w:pPr>
      <w:r>
        <w:t xml:space="preserve"> </w:t>
      </w:r>
    </w:p>
    <w:p w:rsidR="00D323C0" w:rsidRDefault="00235891">
      <w:pPr>
        <w:ind w:left="-5" w:right="14"/>
      </w:pPr>
      <w:r>
        <w:t xml:space="preserve">In our discussions with patients, we explore what they want to know to </w:t>
      </w:r>
      <w:r>
        <w:t xml:space="preserve">help them make their decisions and explain: </w:t>
      </w:r>
    </w:p>
    <w:p w:rsidR="00D323C0" w:rsidRDefault="00235891">
      <w:pPr>
        <w:numPr>
          <w:ilvl w:val="0"/>
          <w:numId w:val="1"/>
        </w:numPr>
        <w:ind w:right="14" w:hanging="361"/>
      </w:pPr>
      <w:r>
        <w:t xml:space="preserve">why we feel the treatment is necessary </w:t>
      </w:r>
    </w:p>
    <w:p w:rsidR="00D323C0" w:rsidRDefault="00235891">
      <w:pPr>
        <w:numPr>
          <w:ilvl w:val="0"/>
          <w:numId w:val="1"/>
        </w:numPr>
        <w:ind w:right="14" w:hanging="361"/>
      </w:pPr>
      <w:r>
        <w:t xml:space="preserve">the risks and benefits of the proposed treatment </w:t>
      </w:r>
    </w:p>
    <w:p w:rsidR="00D323C0" w:rsidRDefault="00235891">
      <w:pPr>
        <w:numPr>
          <w:ilvl w:val="0"/>
          <w:numId w:val="1"/>
        </w:numPr>
        <w:ind w:right="14" w:hanging="361"/>
      </w:pPr>
      <w:r>
        <w:t xml:space="preserve">what might happen if the treatment is not carried out  </w:t>
      </w:r>
    </w:p>
    <w:p w:rsidR="00D323C0" w:rsidRDefault="00235891">
      <w:pPr>
        <w:numPr>
          <w:ilvl w:val="0"/>
          <w:numId w:val="1"/>
        </w:numPr>
        <w:ind w:right="14" w:hanging="361"/>
      </w:pPr>
      <w:r>
        <w:t xml:space="preserve">the alternative treatment options and their risks and benefits </w:t>
      </w:r>
    </w:p>
    <w:p w:rsidR="00D323C0" w:rsidRDefault="00235891">
      <w:pPr>
        <w:spacing w:after="0" w:line="259" w:lineRule="auto"/>
        <w:ind w:left="0" w:right="0" w:firstLine="0"/>
        <w:jc w:val="left"/>
      </w:pPr>
      <w:r>
        <w:t xml:space="preserve"> </w:t>
      </w:r>
    </w:p>
    <w:p w:rsidR="00D323C0" w:rsidRDefault="00235891">
      <w:pPr>
        <w:ind w:left="-5" w:right="14"/>
      </w:pPr>
      <w:r>
        <w:t xml:space="preserve">We encourage patients to ask questions and aim to provide honest and full answers. We always allow patients time to make their decisions.  </w:t>
      </w:r>
    </w:p>
    <w:p w:rsidR="00D323C0" w:rsidRDefault="00235891">
      <w:pPr>
        <w:spacing w:after="0" w:line="259" w:lineRule="auto"/>
        <w:ind w:left="0" w:right="0" w:firstLine="0"/>
        <w:jc w:val="left"/>
      </w:pPr>
      <w:r>
        <w:t xml:space="preserve"> </w:t>
      </w:r>
    </w:p>
    <w:p w:rsidR="00D323C0" w:rsidRDefault="00235891">
      <w:pPr>
        <w:ind w:left="-5" w:right="14"/>
      </w:pPr>
      <w:r>
        <w:t>We always make sure that the patient understands whether they are being treated under the NHS or privately and wh</w:t>
      </w:r>
      <w:r>
        <w:t xml:space="preserve">at the costs will be. Where a patient embarks on a course of treatment, we provide a written treatment plan and cost estimate.  </w:t>
      </w:r>
    </w:p>
    <w:p w:rsidR="00D323C0" w:rsidRDefault="00235891">
      <w:pPr>
        <w:spacing w:after="0" w:line="259" w:lineRule="auto"/>
        <w:ind w:left="0" w:right="0" w:firstLine="0"/>
        <w:jc w:val="left"/>
      </w:pPr>
      <w:r>
        <w:t xml:space="preserve"> </w:t>
      </w:r>
    </w:p>
    <w:p w:rsidR="00D323C0" w:rsidRDefault="00235891">
      <w:pPr>
        <w:ind w:left="-5" w:right="190"/>
      </w:pPr>
      <w:r>
        <w:t>Where changes to the treatment plan are needed, we obtain the patient’s agreement and consent, including to any changes in th</w:t>
      </w:r>
      <w:r>
        <w:t xml:space="preserve">e costs. The patient is given an amended treatment plan and estimate. </w:t>
      </w:r>
    </w:p>
    <w:p w:rsidR="00D323C0" w:rsidRDefault="00235891">
      <w:pPr>
        <w:spacing w:after="21" w:line="259" w:lineRule="auto"/>
        <w:ind w:left="0" w:right="0" w:firstLine="0"/>
        <w:jc w:val="left"/>
      </w:pPr>
      <w:r>
        <w:t xml:space="preserve"> </w:t>
      </w:r>
    </w:p>
    <w:p w:rsidR="00D323C0" w:rsidRDefault="00235891">
      <w:pPr>
        <w:pStyle w:val="Heading1"/>
        <w:ind w:left="-5"/>
      </w:pPr>
      <w:r>
        <w:t xml:space="preserve">Voluntary decision making </w:t>
      </w:r>
    </w:p>
    <w:p w:rsidR="00D323C0" w:rsidRDefault="00235891">
      <w:pPr>
        <w:spacing w:after="0" w:line="259" w:lineRule="auto"/>
        <w:ind w:left="0" w:right="0" w:firstLine="0"/>
        <w:jc w:val="left"/>
      </w:pPr>
      <w:r>
        <w:t xml:space="preserve"> </w:t>
      </w:r>
    </w:p>
    <w:p w:rsidR="00D323C0" w:rsidRDefault="00235891">
      <w:pPr>
        <w:ind w:left="-5" w:right="14"/>
      </w:pPr>
      <w:r>
        <w:t xml:space="preserve">Decisions about their care must be made by the patient, and without pressure. We respect the patient’s right to: </w:t>
      </w:r>
    </w:p>
    <w:p w:rsidR="00D323C0" w:rsidRDefault="00235891">
      <w:pPr>
        <w:numPr>
          <w:ilvl w:val="0"/>
          <w:numId w:val="2"/>
        </w:numPr>
        <w:ind w:right="14" w:hanging="361"/>
      </w:pPr>
      <w:r>
        <w:t xml:space="preserve">refuse to give consent to treatment  </w:t>
      </w:r>
    </w:p>
    <w:p w:rsidR="00D323C0" w:rsidRDefault="00235891">
      <w:pPr>
        <w:numPr>
          <w:ilvl w:val="0"/>
          <w:numId w:val="2"/>
        </w:numPr>
        <w:ind w:right="14" w:hanging="361"/>
      </w:pPr>
      <w:proofErr w:type="gramStart"/>
      <w:r>
        <w:t>ch</w:t>
      </w:r>
      <w:r>
        <w:t>ange</w:t>
      </w:r>
      <w:proofErr w:type="gramEnd"/>
      <w:r>
        <w:t xml:space="preserve"> their minds after they have given consent.  </w:t>
      </w:r>
    </w:p>
    <w:p w:rsidR="00D323C0" w:rsidRDefault="00235891">
      <w:pPr>
        <w:spacing w:after="0" w:line="259" w:lineRule="auto"/>
        <w:ind w:left="0" w:right="0" w:firstLine="0"/>
        <w:jc w:val="left"/>
      </w:pPr>
      <w:r>
        <w:t xml:space="preserve"> </w:t>
      </w:r>
    </w:p>
    <w:p w:rsidR="00D323C0" w:rsidRDefault="00235891">
      <w:pPr>
        <w:ind w:left="-5" w:right="14"/>
      </w:pPr>
      <w:r>
        <w:t xml:space="preserve">When this occurs we will not put pressure on the patient to reconsider but where we feel it is important, we will inform the patient of the consequence of not accepting treatment. </w:t>
      </w:r>
    </w:p>
    <w:p w:rsidR="00D323C0" w:rsidRDefault="00235891">
      <w:pPr>
        <w:spacing w:after="6" w:line="259" w:lineRule="auto"/>
        <w:ind w:left="0" w:right="0" w:firstLine="0"/>
        <w:jc w:val="left"/>
      </w:pPr>
      <w:r>
        <w:t xml:space="preserve"> </w:t>
      </w:r>
    </w:p>
    <w:p w:rsidR="00D323C0" w:rsidRDefault="00235891">
      <w:pPr>
        <w:pStyle w:val="Heading1"/>
        <w:ind w:left="-5"/>
      </w:pPr>
      <w:r>
        <w:t>Ability to give conse</w:t>
      </w:r>
      <w:r>
        <w:t xml:space="preserve">nt </w:t>
      </w:r>
    </w:p>
    <w:p w:rsidR="00D323C0" w:rsidRDefault="00235891">
      <w:pPr>
        <w:spacing w:after="0" w:line="259" w:lineRule="auto"/>
        <w:ind w:left="0" w:right="0" w:firstLine="0"/>
        <w:jc w:val="left"/>
      </w:pPr>
      <w:r>
        <w:t xml:space="preserve"> </w:t>
      </w:r>
    </w:p>
    <w:p w:rsidR="00D323C0" w:rsidRDefault="00235891">
      <w:pPr>
        <w:ind w:left="-5" w:right="14"/>
      </w:pPr>
      <w:r>
        <w:lastRenderedPageBreak/>
        <w:t xml:space="preserve">Every person aged 16 or over has the right to make their own decisions and is assumed to be able to do so, unless they show otherwise. We recognise that, in some circumstances, children under 16 </w:t>
      </w:r>
      <w:r>
        <w:t xml:space="preserve">years may be able to give informed consent to examination and treatment.  </w:t>
      </w:r>
    </w:p>
    <w:p w:rsidR="00D323C0" w:rsidRDefault="00235891">
      <w:pPr>
        <w:spacing w:after="0" w:line="259" w:lineRule="auto"/>
        <w:ind w:left="0" w:right="0" w:firstLine="0"/>
        <w:jc w:val="left"/>
      </w:pPr>
      <w:r>
        <w:t xml:space="preserve"> </w:t>
      </w:r>
    </w:p>
    <w:p w:rsidR="00D323C0" w:rsidRDefault="00235891">
      <w:pPr>
        <w:ind w:left="-5" w:right="14"/>
      </w:pPr>
      <w:r>
        <w:t xml:space="preserve">Where we have doubts about a patient’s ability to give informed consent, we will seek advice from our defence organisation. </w:t>
      </w:r>
    </w:p>
    <w:p w:rsidR="00D323C0" w:rsidRDefault="00235891">
      <w:pPr>
        <w:spacing w:after="0" w:line="259" w:lineRule="auto"/>
        <w:ind w:left="0" w:right="0" w:firstLine="0"/>
        <w:jc w:val="left"/>
      </w:pPr>
      <w:r>
        <w:t xml:space="preserve"> </w:t>
      </w:r>
    </w:p>
    <w:p w:rsidR="00D323C0" w:rsidRDefault="00235891">
      <w:pPr>
        <w:spacing w:after="0" w:line="259" w:lineRule="auto"/>
        <w:ind w:left="0" w:right="0" w:firstLine="0"/>
        <w:jc w:val="left"/>
      </w:pPr>
      <w:r>
        <w:rPr>
          <w:sz w:val="18"/>
        </w:rPr>
        <w:t>Reference: GDC Standards Guidance – Principles of Pa</w:t>
      </w:r>
      <w:r>
        <w:rPr>
          <w:sz w:val="18"/>
        </w:rPr>
        <w:t xml:space="preserve">tient Consent </w:t>
      </w:r>
    </w:p>
    <w:tbl>
      <w:tblPr>
        <w:tblStyle w:val="TableGrid"/>
        <w:tblW w:w="10544" w:type="dxa"/>
        <w:tblInd w:w="-435" w:type="dxa"/>
        <w:tblCellMar>
          <w:top w:w="0" w:type="dxa"/>
          <w:left w:w="120" w:type="dxa"/>
          <w:bottom w:w="0" w:type="dxa"/>
          <w:right w:w="42" w:type="dxa"/>
        </w:tblCellMar>
        <w:tblLook w:val="04A0" w:firstRow="1" w:lastRow="0" w:firstColumn="1" w:lastColumn="0" w:noHBand="0" w:noVBand="1"/>
      </w:tblPr>
      <w:tblGrid>
        <w:gridCol w:w="1727"/>
        <w:gridCol w:w="1397"/>
        <w:gridCol w:w="4055"/>
        <w:gridCol w:w="1502"/>
        <w:gridCol w:w="796"/>
        <w:gridCol w:w="1067"/>
      </w:tblGrid>
      <w:tr w:rsidR="00D323C0">
        <w:trPr>
          <w:trHeight w:val="721"/>
        </w:trPr>
        <w:tc>
          <w:tcPr>
            <w:tcW w:w="1727" w:type="dxa"/>
            <w:tcBorders>
              <w:top w:val="dashed" w:sz="6" w:space="0" w:color="000000"/>
              <w:left w:val="dashed" w:sz="6" w:space="0" w:color="000000"/>
              <w:bottom w:val="dashed" w:sz="6" w:space="0" w:color="000000"/>
              <w:right w:val="dashed" w:sz="6" w:space="0" w:color="000000"/>
            </w:tcBorders>
            <w:vAlign w:val="center"/>
          </w:tcPr>
          <w:p w:rsidR="00D323C0" w:rsidRDefault="00235891">
            <w:pPr>
              <w:spacing w:after="0" w:line="259" w:lineRule="auto"/>
              <w:ind w:left="0" w:right="0" w:firstLine="0"/>
              <w:jc w:val="center"/>
            </w:pPr>
            <w:r>
              <w:rPr>
                <w:sz w:val="17"/>
              </w:rPr>
              <w:t xml:space="preserve">CG </w:t>
            </w:r>
            <w:proofErr w:type="spellStart"/>
            <w:r>
              <w:rPr>
                <w:sz w:val="17"/>
              </w:rPr>
              <w:t>Domian</w:t>
            </w:r>
            <w:proofErr w:type="spellEnd"/>
            <w:r>
              <w:rPr>
                <w:sz w:val="17"/>
              </w:rPr>
              <w:t xml:space="preserve"> 1 Consent </w:t>
            </w:r>
          </w:p>
        </w:tc>
        <w:tc>
          <w:tcPr>
            <w:tcW w:w="1397" w:type="dxa"/>
            <w:tcBorders>
              <w:top w:val="dashed" w:sz="6" w:space="0" w:color="000000"/>
              <w:left w:val="dashed" w:sz="6" w:space="0" w:color="000000"/>
              <w:bottom w:val="dashed" w:sz="6" w:space="0" w:color="000000"/>
              <w:right w:val="dashed" w:sz="6" w:space="0" w:color="000000"/>
            </w:tcBorders>
            <w:vAlign w:val="center"/>
          </w:tcPr>
          <w:p w:rsidR="00D323C0" w:rsidRDefault="00235891">
            <w:pPr>
              <w:spacing w:after="0" w:line="259" w:lineRule="auto"/>
              <w:ind w:left="316" w:right="0" w:hanging="286"/>
              <w:jc w:val="left"/>
            </w:pPr>
            <w:r>
              <w:rPr>
                <w:sz w:val="17"/>
              </w:rPr>
              <w:t>Author/Owner:   I Tiwari</w:t>
            </w:r>
            <w:r>
              <w:rPr>
                <w:rFonts w:ascii="Cambria" w:eastAsia="Cambria" w:hAnsi="Cambria" w:cs="Cambria"/>
              </w:rPr>
              <w:t xml:space="preserve"> </w:t>
            </w:r>
          </w:p>
        </w:tc>
        <w:tc>
          <w:tcPr>
            <w:tcW w:w="4055" w:type="dxa"/>
            <w:tcBorders>
              <w:top w:val="dashed" w:sz="6" w:space="0" w:color="000000"/>
              <w:left w:val="dashed" w:sz="6" w:space="0" w:color="000000"/>
              <w:bottom w:val="dashed" w:sz="6" w:space="0" w:color="000000"/>
              <w:right w:val="dashed" w:sz="6" w:space="0" w:color="000000"/>
            </w:tcBorders>
            <w:vAlign w:val="center"/>
          </w:tcPr>
          <w:p w:rsidR="00D323C0" w:rsidRDefault="00235891">
            <w:pPr>
              <w:spacing w:after="0" w:line="259" w:lineRule="auto"/>
              <w:ind w:left="931" w:right="0" w:hanging="796"/>
            </w:pPr>
            <w:r>
              <w:rPr>
                <w:sz w:val="17"/>
              </w:rPr>
              <w:t>Location: Practice Documents</w:t>
            </w:r>
            <w:hyperlink r:id="rId6">
              <w:r>
                <w:rPr>
                  <w:sz w:val="17"/>
                </w:rPr>
                <w:t xml:space="preserve"> (</w:t>
              </w:r>
            </w:hyperlink>
            <w:hyperlink r:id="rId7">
              <w:r>
                <w:rPr>
                  <w:color w:val="0000FF"/>
                  <w:sz w:val="17"/>
                  <w:u w:val="single" w:color="0000FF"/>
                </w:rPr>
                <w:t>\\</w:t>
              </w:r>
            </w:hyperlink>
            <w:hyperlink r:id="rId8">
              <w:r>
                <w:rPr>
                  <w:color w:val="0000FF"/>
                  <w:sz w:val="17"/>
                  <w:u w:val="single" w:color="0000FF"/>
                </w:rPr>
                <w:t>Server</w:t>
              </w:r>
            </w:hyperlink>
            <w:r>
              <w:rPr>
                <w:sz w:val="17"/>
              </w:rPr>
              <w:t xml:space="preserve"> K:\ Clinical Governance-Lymington D1)</w:t>
            </w:r>
            <w:r>
              <w:t xml:space="preserve"> </w:t>
            </w:r>
          </w:p>
        </w:tc>
        <w:tc>
          <w:tcPr>
            <w:tcW w:w="1502" w:type="dxa"/>
            <w:tcBorders>
              <w:top w:val="dashed" w:sz="6" w:space="0" w:color="000000"/>
              <w:left w:val="dashed" w:sz="6" w:space="0" w:color="000000"/>
              <w:bottom w:val="dashed" w:sz="6" w:space="0" w:color="000000"/>
              <w:right w:val="dashed" w:sz="6" w:space="0" w:color="000000"/>
            </w:tcBorders>
            <w:vAlign w:val="center"/>
          </w:tcPr>
          <w:p w:rsidR="00D323C0" w:rsidRDefault="00235891">
            <w:pPr>
              <w:spacing w:after="0" w:line="259" w:lineRule="auto"/>
              <w:ind w:left="226" w:right="0" w:hanging="105"/>
              <w:jc w:val="left"/>
            </w:pPr>
            <w:r>
              <w:rPr>
                <w:sz w:val="17"/>
              </w:rPr>
              <w:t xml:space="preserve">  </w:t>
            </w:r>
            <w:r>
              <w:rPr>
                <w:sz w:val="17"/>
              </w:rPr>
              <w:t>Review date:   30-09-2017</w:t>
            </w:r>
            <w:r>
              <w:t xml:space="preserve"> </w:t>
            </w:r>
          </w:p>
        </w:tc>
        <w:tc>
          <w:tcPr>
            <w:tcW w:w="796" w:type="dxa"/>
            <w:tcBorders>
              <w:top w:val="dashed" w:sz="6" w:space="0" w:color="000000"/>
              <w:left w:val="dashed" w:sz="6" w:space="0" w:color="000000"/>
              <w:bottom w:val="dashed" w:sz="6" w:space="0" w:color="000000"/>
              <w:right w:val="dashed" w:sz="6" w:space="0" w:color="000000"/>
            </w:tcBorders>
            <w:vAlign w:val="center"/>
          </w:tcPr>
          <w:p w:rsidR="00D323C0" w:rsidRDefault="00235891">
            <w:pPr>
              <w:spacing w:after="0" w:line="259" w:lineRule="auto"/>
              <w:ind w:left="240" w:right="0" w:hanging="240"/>
              <w:jc w:val="left"/>
            </w:pPr>
            <w:r>
              <w:rPr>
                <w:sz w:val="17"/>
              </w:rPr>
              <w:t>Version: 1</w:t>
            </w:r>
            <w:r>
              <w:t xml:space="preserve"> </w:t>
            </w:r>
          </w:p>
        </w:tc>
        <w:tc>
          <w:tcPr>
            <w:tcW w:w="1067" w:type="dxa"/>
            <w:tcBorders>
              <w:top w:val="dashed" w:sz="6" w:space="0" w:color="000000"/>
              <w:left w:val="dashed" w:sz="6" w:space="0" w:color="000000"/>
              <w:bottom w:val="dashed" w:sz="6" w:space="0" w:color="000000"/>
              <w:right w:val="dashed" w:sz="6" w:space="0" w:color="000000"/>
            </w:tcBorders>
            <w:vAlign w:val="center"/>
          </w:tcPr>
          <w:p w:rsidR="00D323C0" w:rsidRDefault="00235891">
            <w:pPr>
              <w:spacing w:after="0" w:line="259" w:lineRule="auto"/>
              <w:ind w:left="15" w:right="0" w:firstLine="0"/>
              <w:jc w:val="left"/>
            </w:pPr>
            <w:r>
              <w:rPr>
                <w:sz w:val="17"/>
              </w:rPr>
              <w:t>Page 1 of 1</w:t>
            </w:r>
            <w:r>
              <w:t xml:space="preserve"> </w:t>
            </w:r>
          </w:p>
        </w:tc>
      </w:tr>
    </w:tbl>
    <w:p w:rsidR="00D323C0" w:rsidRDefault="00235891">
      <w:pPr>
        <w:spacing w:after="0" w:line="259" w:lineRule="auto"/>
        <w:ind w:left="0" w:right="0" w:firstLine="0"/>
        <w:jc w:val="left"/>
      </w:pPr>
      <w:r>
        <w:rPr>
          <w:sz w:val="20"/>
        </w:rPr>
        <w:t xml:space="preserve"> </w:t>
      </w:r>
    </w:p>
    <w:sectPr w:rsidR="00D323C0">
      <w:pgSz w:w="11910" w:h="16845"/>
      <w:pgMar w:top="135" w:right="1468" w:bottom="946"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31F"/>
    <w:multiLevelType w:val="hybridMultilevel"/>
    <w:tmpl w:val="6108EFE8"/>
    <w:lvl w:ilvl="0" w:tplc="467C8B88">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508C2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EFE6F4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6DEB0C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BBEE4E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14873D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1C42D7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8441E2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9A4532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024763E"/>
    <w:multiLevelType w:val="hybridMultilevel"/>
    <w:tmpl w:val="0890F4A6"/>
    <w:lvl w:ilvl="0" w:tplc="2E4C9DC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03AA52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2FCD3B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740120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22C4F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B24550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4AC304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AD4BB2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CD657D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0"/>
    <w:rsid w:val="00235891"/>
    <w:rsid w:val="00D32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56E51-CE4B-4F60-8C1D-9B973B52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12"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Trebuchet MS" w:eastAsia="Trebuchet MS" w:hAnsi="Trebuchet MS" w:cs="Trebuchet MS"/>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Server" TargetMode="External"/><Relationship Id="rId3" Type="http://schemas.openxmlformats.org/officeDocument/2006/relationships/settings" Target="settings.xml"/><Relationship Id="rId7" Type="http://schemas.openxmlformats.org/officeDocument/2006/relationships/hyperlink" Target="file://///Ser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Consent policy</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policy</dc:title>
  <dc:subject/>
  <dc:creator>© BDA</dc:creator>
  <cp:keywords>Printed; Edited; Corrected</cp:keywords>
  <cp:lastModifiedBy>Surgery1</cp:lastModifiedBy>
  <cp:revision>2</cp:revision>
  <dcterms:created xsi:type="dcterms:W3CDTF">2016-12-02T16:07:00Z</dcterms:created>
  <dcterms:modified xsi:type="dcterms:W3CDTF">2016-12-02T16:07:00Z</dcterms:modified>
</cp:coreProperties>
</file>